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24CF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bookmarkStart w:id="2" w:name="_GoBack"/>
      <w:r>
        <w:rPr>
          <w:rFonts w:eastAsia="方正小标宋_GBK"/>
          <w:sz w:val="44"/>
          <w:szCs w:val="44"/>
        </w:rPr>
        <w:t>第十届教育部科学研究优秀成果奖</w:t>
      </w:r>
    </w:p>
    <w:p w14:paraId="3A1BD652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14:paraId="41DE2962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  <w:bookmarkEnd w:id="2"/>
    </w:p>
    <w:p w14:paraId="581D2312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14:paraId="77A7768D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专区评奖工作由全国教育科学规划领导小组统筹领导，全国教育科学规划领导小组办公室（以下简称全规办）具体组织实施。有关工作安排如下。</w:t>
      </w:r>
    </w:p>
    <w:p w14:paraId="4EAA0DF9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14:paraId="5BB4CDBB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设置著作论文奖、咨询服务报告奖、普及读物奖、青年成果奖。普及读物奖和青年成果奖不分等级，其他奖项分设一、二、三等奖。</w:t>
      </w:r>
    </w:p>
    <w:p w14:paraId="7E821B34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专区</w:t>
      </w:r>
      <w:r>
        <w:rPr>
          <w:rFonts w:eastAsia="仿宋_GB2312"/>
          <w:sz w:val="32"/>
          <w:szCs w:val="36"/>
        </w:rPr>
        <w:t>奖励数量为190项。按照确保质量的要求，允许各类、各等级奖项有空缺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14:paraId="3EBC5BCA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14:paraId="3FA7733D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参评成果范围为2021年1月1日至2024年12月31日期间著作、论文、咨询服务报告、普及读物，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hint="eastAsia" w:eastAsia="仿宋_GB2312"/>
          <w:sz w:val="32"/>
          <w:szCs w:val="32"/>
        </w:rPr>
        <w:t>（附件4）</w:t>
      </w:r>
      <w:r>
        <w:rPr>
          <w:rFonts w:eastAsia="仿宋_GB2312"/>
          <w:sz w:val="32"/>
          <w:szCs w:val="32"/>
        </w:rPr>
        <w:t>有关规定。</w:t>
      </w:r>
    </w:p>
    <w:p w14:paraId="6BC3D2E0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三、申报单位和名额</w:t>
      </w:r>
    </w:p>
    <w:p w14:paraId="63118720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规办受理二级管理单位的集中申报、审核和推荐，不直接受理个人申报。二级管理单位包括省级教育行政部门（指定各省级教育科学规划办公室具体负责）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14:paraId="22DB1BC2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 w14:paraId="2903E57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规办官方网站评奖申报系统。二级管理单位要充分动员、精心组织，规范申报程序，强化纪律监督，切实把好政治方向关和学术质量关，按照限额指标组织好本单位、本行政区域的推荐。</w:t>
      </w:r>
    </w:p>
    <w:p w14:paraId="54850734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14:paraId="7D07A12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（一）专区评奖采取网上申报。全规办官方网站（https://onsgep.moe.edu.cn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sz w:val="32"/>
          <w:szCs w:val="36"/>
        </w:rPr>
        <w:t>2025年10月20日9时开放，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14:paraId="4D408BCD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（二）申报者访问（无需登录）全规办评奖申报系统，下载《第十届教育部科学研究优秀成果奖（人文社会科学）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专区申报评审表》（以下简称《专区申报评审表》）进行填写。申报者将</w:t>
      </w:r>
      <w:r>
        <w:rPr>
          <w:rFonts w:eastAsia="仿宋_GB2312"/>
          <w:sz w:val="32"/>
          <w:szCs w:val="36"/>
        </w:rPr>
        <w:t>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WORD版和加盖单位公章的PDF版（部属单位也可在完成推荐公示后再加盖公章）</w:t>
      </w:r>
      <w:r>
        <w:rPr>
          <w:rFonts w:eastAsia="仿宋_GB2312"/>
          <w:sz w:val="32"/>
          <w:szCs w:val="32"/>
        </w:rPr>
        <w:t>、成果及佐证材料的PDF版于</w:t>
      </w:r>
      <w:r>
        <w:rPr>
          <w:rFonts w:eastAsia="黑体"/>
          <w:sz w:val="32"/>
          <w:szCs w:val="32"/>
        </w:rPr>
        <w:t>11月6日前</w:t>
      </w:r>
      <w:r>
        <w:rPr>
          <w:rFonts w:eastAsia="仿宋_GB2312"/>
          <w:sz w:val="32"/>
          <w:szCs w:val="32"/>
        </w:rPr>
        <w:t>提交给二级管理单位。申报者个人须对提交内容的真实性和准确性负责。</w:t>
      </w:r>
    </w:p>
    <w:p w14:paraId="6E463101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，公示期不少于5个工作日。</w:t>
      </w:r>
      <w:r>
        <w:rPr>
          <w:rFonts w:eastAsia="黑体"/>
          <w:sz w:val="32"/>
          <w:szCs w:val="36"/>
        </w:rPr>
        <w:t>11月26日17时前</w:t>
      </w:r>
      <w:r>
        <w:rPr>
          <w:rFonts w:eastAsia="仿宋_GB2312"/>
          <w:sz w:val="32"/>
          <w:szCs w:val="36"/>
        </w:rPr>
        <w:t>，须将完成公示的推荐材料（《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WORD版和加盖公章的PDF版</w:t>
      </w:r>
      <w:r>
        <w:rPr>
          <w:rFonts w:eastAsia="仿宋_GB2312"/>
          <w:sz w:val="32"/>
          <w:szCs w:val="32"/>
        </w:rPr>
        <w:t>、成果及佐证材料的PDF版</w:t>
      </w:r>
      <w:r>
        <w:rPr>
          <w:rFonts w:eastAsia="仿宋_GB2312"/>
          <w:sz w:val="32"/>
          <w:szCs w:val="36"/>
        </w:rPr>
        <w:t>）和《推荐成果汇总表》上传系统，提交至全规办。</w:t>
      </w:r>
    </w:p>
    <w:p w14:paraId="17C1EB31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《推荐成果汇总表》由系统自动生成，须加盖二级管理单位公章，扫描为PDF版上传。</w:t>
      </w:r>
    </w:p>
    <w:p w14:paraId="5F5854B5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未经公示或公示异议尚未完成核查处理的推荐材料不予受理。在系统中提交至全规办的所有材料均视为经过各级单位审核同意。</w:t>
      </w:r>
    </w:p>
    <w:p w14:paraId="77A83344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《专区申报评审表》、成果及佐证材料、《推荐成果汇总表》均无需给全规办寄送纸质版。</w:t>
      </w:r>
    </w:p>
    <w:p w14:paraId="7A480E2B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1.成果是否坚持正确的政治方向、价值取向和研究导向；2.成果是否符合学术道德和学术规范，有无知识产权等方面的争议；3.成果是否涉及国家秘密；4.申报资格是否符合有关规定，推荐材料是否真实。如发现不符合规定或弄虚作假情形，一经核实取消推荐资格。</w:t>
      </w:r>
    </w:p>
    <w:p w14:paraId="333BC84E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规办对各二级管理单位报送的推荐材料依据申报要求进行初审。初审结果通过评奖申报系统向各二级管理单位反馈，由各单位进行第二轮公示并核查，公示期不少于10个工作日。公示合格的推荐材料由全规办组织专家进行复审。</w:t>
      </w:r>
    </w:p>
    <w:p w14:paraId="321C7BC1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 w14:paraId="2EF219DD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全规办联系电话：010－62003307/62008930</w:t>
      </w:r>
    </w:p>
    <w:p w14:paraId="7A1A6E58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r>
        <w:fldChar w:fldCharType="begin"/>
      </w:r>
      <w:r>
        <w:instrText xml:space="preserve"> HYPERLINK "mailto:qgb@moe.edu.cn" </w:instrText>
      </w:r>
      <w:r>
        <w:fldChar w:fldCharType="separate"/>
      </w:r>
      <w:r>
        <w:rPr>
          <w:rFonts w:eastAsia="仿宋_GB2312"/>
          <w:sz w:val="32"/>
          <w:szCs w:val="32"/>
        </w:rPr>
        <w:t>qgb@moe.edu.cn</w:t>
      </w:r>
      <w:r>
        <w:rPr>
          <w:rFonts w:eastAsia="仿宋_GB2312"/>
          <w:sz w:val="32"/>
          <w:szCs w:val="32"/>
        </w:rPr>
        <w:fldChar w:fldCharType="end"/>
      </w:r>
    </w:p>
    <w:bookmarkEnd w:id="1"/>
    <w:p w14:paraId="66FA1874">
      <w:pPr>
        <w:adjustRightInd/>
        <w:spacing w:line="580" w:lineRule="exact"/>
        <w:textAlignment w:val="auto"/>
        <w:rPr>
          <w:rFonts w:eastAsia="仿宋_GB2312"/>
          <w:bCs/>
          <w:sz w:val="32"/>
          <w:szCs w:val="32"/>
          <w:shd w:val="clear" w:color="auto" w:fill="FFFFFF"/>
        </w:rPr>
      </w:pPr>
    </w:p>
    <w:p w14:paraId="103189FB">
      <w:pPr>
        <w:widowControl/>
        <w:spacing w:line="600" w:lineRule="exact"/>
        <w:contextualSpacing/>
        <w:rPr>
          <w:rFonts w:eastAsia="黑体"/>
          <w:sz w:val="32"/>
          <w:szCs w:val="32"/>
        </w:rPr>
      </w:pPr>
    </w:p>
    <w:p w14:paraId="44411A86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0E2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9801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9801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04F58"/>
    <w:rsid w:val="4B10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2025-10-21T09:25:00Z</dcterms:created>
  <dc:creator>人文社科处</dc:creator>
  <cp:lastModifiedBy>人文社科处</cp:lastModifiedBy>
  <dcterms:modified xsi:type="dcterms:W3CDTF">2025-10-21T09:26:38Z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ED7CAAB6900E4FE1A311AF29C66357AC_11</vt:lpwstr>
  </property>
  <property fmtid="{D5CDD505-2E9C-101B-9397-08002B2CF9AE}" pid="4" name="KSOTemplateDocerSaveRecord">
    <vt:lpwstr>eyJoZGlkIjoiMTM4MjU4ODZkOTIzOTE1OWI5ZmNkZjA0OTlkZjBlY2EiLCJ1c2VySWQiOiIxNjUwMjU4MTExIn0=</vt:lpwstr>
  </property>
</Properties>
</file>